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7F0" w:rsidRPr="004E3DAA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E3DAA">
        <w:rPr>
          <w:rFonts w:ascii="Times New Roman" w:hAnsi="Times New Roman" w:cs="Times New Roman"/>
          <w:b/>
          <w:sz w:val="28"/>
          <w:szCs w:val="28"/>
        </w:rPr>
        <w:t>Тема 4. Основные показатели (коэффициенты) для определения электрических нагрузок.</w:t>
      </w:r>
    </w:p>
    <w:p w:rsidR="00DB4CAE" w:rsidRPr="004E3DAA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3DAA">
        <w:rPr>
          <w:rFonts w:ascii="Times New Roman" w:hAnsi="Times New Roman" w:cs="Times New Roman"/>
          <w:b/>
          <w:sz w:val="28"/>
          <w:szCs w:val="28"/>
        </w:rPr>
        <w:t xml:space="preserve">Изучение коэффициентов и характерных показателей </w:t>
      </w:r>
      <w:proofErr w:type="spellStart"/>
      <w:r w:rsidRPr="004E3DAA">
        <w:rPr>
          <w:rFonts w:ascii="Times New Roman" w:hAnsi="Times New Roman" w:cs="Times New Roman"/>
          <w:b/>
          <w:sz w:val="28"/>
          <w:szCs w:val="28"/>
        </w:rPr>
        <w:t>электроприемников</w:t>
      </w:r>
      <w:proofErr w:type="spellEnd"/>
      <w:r w:rsidRPr="004E3DAA">
        <w:rPr>
          <w:rFonts w:ascii="Times New Roman" w:hAnsi="Times New Roman" w:cs="Times New Roman"/>
          <w:b/>
          <w:sz w:val="28"/>
          <w:szCs w:val="28"/>
        </w:rPr>
        <w:t>, использование показателей в расчетах нагрузок</w:t>
      </w:r>
    </w:p>
    <w:bookmarkEnd w:id="0"/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При расчетах и исследовании нагрузок применяются некоторые безразмерные показатели (коэффициенты) графиков нагрузок, характеризующие режим работы приемников электроэнергии по мощности или во времени.</w:t>
      </w: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1) Коэффициент использования.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Коэффициентом использования активной мощности приемника электроэнергии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AB57F0">
        <w:rPr>
          <w:rFonts w:ascii="Times New Roman" w:hAnsi="Times New Roman" w:cs="Times New Roman"/>
          <w:sz w:val="28"/>
          <w:szCs w:val="28"/>
        </w:rPr>
        <w:t xml:space="preserve"> или группы приемников К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AB57F0">
        <w:rPr>
          <w:rFonts w:ascii="Times New Roman" w:hAnsi="Times New Roman" w:cs="Times New Roman"/>
          <w:sz w:val="28"/>
          <w:szCs w:val="28"/>
        </w:rPr>
        <w:t xml:space="preserve"> называется отношение средней активной мощности отдельного приемника (или группы их) к ее номинальному значению</w:t>
      </w:r>
    </w:p>
    <w:p w:rsidR="00AB57F0" w:rsidRDefault="00AB57F0" w:rsidP="004E3DAA">
      <w:pPr>
        <w:spacing w:after="0" w:line="240" w:lineRule="auto"/>
        <w:ind w:firstLine="709"/>
        <w:jc w:val="center"/>
      </w:pPr>
      <w:r>
        <w:rPr>
          <w:noProof/>
          <w:lang w:eastAsia="ru-RU"/>
        </w:rPr>
        <w:drawing>
          <wp:inline distT="0" distB="0" distL="0" distR="0">
            <wp:extent cx="763270" cy="429260"/>
            <wp:effectExtent l="0" t="0" r="0" b="8890"/>
            <wp:docPr id="1" name="Рисунок 1" descr="https://libr.aues.kz/facultet/eef/kaf_epp/27/umm/epp_3.files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eef/kaf_epp/27/umm/epp_3.files/image03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810895" cy="445135"/>
            <wp:effectExtent l="0" t="0" r="8255" b="0"/>
            <wp:docPr id="2" name="Рисунок 2" descr="https://libr.aues.kz/facultet/eef/kaf_epp/27/umm/epp_3.files/imag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eef/kaf_epp/27/umm/epp_3.files/image03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Этот коэффициент, как и средняя нагрузка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Р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>, относится к смене с наибольшей загрузкой приемников.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Для графика нагрузок по активной мощности средний коэффициент использования активной мощности приемника за смену может быть определен из выражения</w:t>
      </w: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83205" cy="445135"/>
            <wp:effectExtent l="0" t="0" r="0" b="0"/>
            <wp:docPr id="3" name="Рисунок 3" descr="https://libr.aues.kz/facultet/eef/kaf_epp/27/umm/epp_3.files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eef/kaf_epp/27/umm/epp_3.files/image03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W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– энергия, потребленная приемником за смену;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W</w:t>
      </w:r>
      <w:proofErr w:type="gramStart"/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а,возм</w:t>
      </w:r>
      <w:proofErr w:type="spellEnd"/>
      <w:proofErr w:type="gramEnd"/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B57F0">
        <w:rPr>
          <w:rFonts w:ascii="Times New Roman" w:hAnsi="Times New Roman" w:cs="Times New Roman"/>
          <w:sz w:val="28"/>
          <w:szCs w:val="28"/>
        </w:rPr>
        <w:t>– энергия, которая могла бы быть потреблена (возможная) приемником за смену при номинальной загрузке его в течение всей смены.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3BB505A" wp14:editId="27A66A1E">
            <wp:extent cx="2663825" cy="2242185"/>
            <wp:effectExtent l="0" t="0" r="3175" b="5715"/>
            <wp:docPr id="5" name="Рисунок 5" descr="https://libr.aues.kz/facultet/eef/kaf_epp/27/umm/epp_3.files/image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eef/kaf_epp/27/umm/epp_3.files/image03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25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B57F0">
        <w:rPr>
          <w:rFonts w:ascii="Times New Roman" w:hAnsi="Times New Roman" w:cs="Times New Roman"/>
          <w:sz w:val="28"/>
          <w:szCs w:val="28"/>
        </w:rPr>
        <w:t xml:space="preserve"> – Индивидуальный график нагрузок по активной мощности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2) Коэффициент включения.</w:t>
      </w: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lastRenderedPageBreak/>
        <w:t xml:space="preserve">Коэффициентом включения приемника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к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называется отношение продолжительности включения в цикле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ко всей продолжительности цикла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>.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Время включения приемника за цикл складывается из времени работы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и времени холостого хода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AB57F0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21410" cy="476885"/>
            <wp:effectExtent l="0" t="0" r="2540" b="0"/>
            <wp:docPr id="4" name="Рисунок 4" descr="https://libr.aues.kz/facultet/eef/kaf_epp/27/umm/epp_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eef/kaf_epp/27/umm/epp_3.files/image03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Коэффициентом включения группы приемников или групповым коэффициентом включения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называется средневзвешенное (по номинальной активной мощности) значение коэффициентов включения всех приемников, входящих в группу, определяемое по формуле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49655" cy="842645"/>
            <wp:effectExtent l="0" t="0" r="0" b="0"/>
            <wp:docPr id="6" name="Рисунок 6" descr="https://libr.aues.kz/facultet/eef/kaf_epp/27/umm/epp_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eef/kaf_epp/27/umm/epp_3.files/image03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Для графика нагрузок по активной мощности коэффициент включения определяется из выражения</w:t>
      </w:r>
    </w:p>
    <w:p w:rsidR="00AB57F0" w:rsidRDefault="00AB57F0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106930" cy="469265"/>
            <wp:effectExtent l="0" t="0" r="7620" b="6985"/>
            <wp:docPr id="7" name="Рисунок 7" descr="https://libr.aues.kz/facultet/eef/kaf_epp/27/umm/epp_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ibr.aues.kz/facultet/eef/kaf_epp/27/umm/epp_3.files/image03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B57F0" w:rsidRP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>3) Коэффициент загрузки.</w:t>
      </w:r>
    </w:p>
    <w:p w:rsidR="00AB57F0" w:rsidRDefault="00AB57F0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57F0">
        <w:rPr>
          <w:rFonts w:ascii="Times New Roman" w:hAnsi="Times New Roman" w:cs="Times New Roman"/>
          <w:sz w:val="28"/>
          <w:szCs w:val="28"/>
        </w:rPr>
        <w:t xml:space="preserve">Коэффициентом загрузки приемника по активной мощности </w:t>
      </w:r>
      <w:proofErr w:type="spellStart"/>
      <w:proofErr w:type="gramStart"/>
      <w:r w:rsidRPr="00AB57F0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="002F5269" w:rsidRPr="002F5269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spellEnd"/>
      <w:proofErr w:type="gramEnd"/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B57F0">
        <w:rPr>
          <w:rFonts w:ascii="Times New Roman" w:hAnsi="Times New Roman" w:cs="Times New Roman"/>
          <w:sz w:val="28"/>
          <w:szCs w:val="28"/>
        </w:rPr>
        <w:t xml:space="preserve">называется отношение фактической потребляемой им средней активной мощности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р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с,в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за время включения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в течение времени цикла </w:t>
      </w:r>
      <w:proofErr w:type="spellStart"/>
      <w:r w:rsidRPr="00AB57F0">
        <w:rPr>
          <w:rFonts w:ascii="Times New Roman" w:hAnsi="Times New Roman" w:cs="Times New Roman"/>
          <w:sz w:val="28"/>
          <w:szCs w:val="28"/>
        </w:rPr>
        <w:t>t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spellEnd"/>
      <w:r w:rsidRPr="00AB57F0">
        <w:rPr>
          <w:rFonts w:ascii="Times New Roman" w:hAnsi="Times New Roman" w:cs="Times New Roman"/>
          <w:sz w:val="28"/>
          <w:szCs w:val="28"/>
        </w:rPr>
        <w:t xml:space="preserve"> к его номинальной мощности</w:t>
      </w:r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29E76B0" wp14:editId="4F395EE8">
            <wp:extent cx="858520" cy="461010"/>
            <wp:effectExtent l="0" t="0" r="0" b="0"/>
            <wp:docPr id="10" name="Рисунок 10" descr="https://libr.aues.kz/facultet/eef/kaf_epp/27/umm/epp_3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ibr.aues.kz/facultet/eef/kaf_epp/27/umm/epp_3.files/image03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2F5269">
        <w:rPr>
          <w:rFonts w:ascii="Times New Roman" w:hAnsi="Times New Roman" w:cs="Times New Roman"/>
          <w:sz w:val="28"/>
          <w:szCs w:val="28"/>
        </w:rPr>
        <w:t>Групповым коэффициентом загрузки по активной мощности называется отношение группового коэффициента использования 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2F5269">
        <w:rPr>
          <w:rFonts w:ascii="Times New Roman" w:hAnsi="Times New Roman" w:cs="Times New Roman"/>
          <w:sz w:val="28"/>
          <w:szCs w:val="28"/>
        </w:rPr>
        <w:t xml:space="preserve"> к групповому коэффициенту включения </w:t>
      </w:r>
      <w:proofErr w:type="spellStart"/>
      <w:r w:rsidRPr="002F5269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763270" cy="445135"/>
            <wp:effectExtent l="0" t="0" r="0" b="0"/>
            <wp:docPr id="8" name="Рисунок 8" descr="https://libr.aues.kz/facultet/eef/kaf_epp/27/umm/epp_3.files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ibr.aues.kz/facultet/eef/kaf_epp/27/umm/epp_3.files/image03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Коэффициент загрузки, как и коэффициент включения, связан непосредственно с технологическим процессом и изменяется с изменением режима работы приемника.</w:t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оэффициент загрузки для графика </w:t>
      </w:r>
      <w:r w:rsidRPr="002F5269">
        <w:rPr>
          <w:rFonts w:ascii="Times New Roman" w:hAnsi="Times New Roman" w:cs="Times New Roman"/>
          <w:sz w:val="28"/>
          <w:szCs w:val="28"/>
        </w:rPr>
        <w:t xml:space="preserve">нагрузки (см. рисунок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5269">
        <w:rPr>
          <w:rFonts w:ascii="Times New Roman" w:hAnsi="Times New Roman" w:cs="Times New Roman"/>
          <w:sz w:val="28"/>
          <w:szCs w:val="28"/>
        </w:rPr>
        <w:t>) определяется из выражения</w:t>
      </w:r>
    </w:p>
    <w:p w:rsidR="002F5269" w:rsidRP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393315" cy="429260"/>
            <wp:effectExtent l="0" t="0" r="6985" b="8890"/>
            <wp:docPr id="9" name="Рисунок 9" descr="https://libr.aues.kz/facultet/eef/kaf_epp/27/umm/epp_3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ibr.aues.kz/facultet/eef/kaf_epp/27/umm/epp_3.files/image03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31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и показывает степень использования мощности приемника за рабочее время, т.е. за время включения.</w:t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Можно получить следующее соотношение</w:t>
      </w:r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6150" cy="238760"/>
            <wp:effectExtent l="0" t="0" r="6350" b="8890"/>
            <wp:docPr id="11" name="Рисунок 11" descr="https://libr.aues.kz/facultet/eef/kaf_epp/27/umm/epp_3.files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ibr.aues.kz/facultet/eef/kaf_epp/27/umm/epp_3.files/image04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4) Коэффициент формы графика нагрузок.</w:t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 xml:space="preserve">Коэффициентом формы графика нагрузок </w:t>
      </w:r>
      <w:proofErr w:type="spellStart"/>
      <w:proofErr w:type="gramStart"/>
      <w:r w:rsidRPr="002F5269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ф,I</w:t>
      </w:r>
      <w:proofErr w:type="spellEnd"/>
      <w:proofErr w:type="gramEnd"/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 xml:space="preserve">, </w:t>
      </w:r>
      <w:proofErr w:type="spellStart"/>
      <w:r w:rsidRPr="002F5269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ф,I</w:t>
      </w:r>
      <w:proofErr w:type="spellEnd"/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F5269">
        <w:rPr>
          <w:rFonts w:ascii="Times New Roman" w:hAnsi="Times New Roman" w:cs="Times New Roman"/>
          <w:sz w:val="28"/>
          <w:szCs w:val="28"/>
        </w:rPr>
        <w:t>называется отношение среднеквадратичного тока (или среднеквадратичной полной мощности) приемника или группы приемников за определенный период времени к среднему значению его за тот же период времени</w:t>
      </w:r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22655" cy="429260"/>
            <wp:effectExtent l="0" t="0" r="0" b="8890"/>
            <wp:docPr id="12" name="Рисунок 12" descr="https://libr.aues.kz/facultet/eef/kaf_epp/27/umm/epp_3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ibr.aues.kz/facultet/eef/kaf_epp/27/umm/epp_3.files/image04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25525" cy="429260"/>
            <wp:effectExtent l="0" t="0" r="3175" b="8890"/>
            <wp:docPr id="13" name="Рисунок 13" descr="https://libr.aues.kz/facultet/eef/kaf_epp/27/umm/epp_3.files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ibr.aues.kz/facultet/eef/kaf_epp/27/umm/epp_3.files/image04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или по активной и реактивной мощности:</w:t>
      </w:r>
    </w:p>
    <w:p w:rsidR="002F5269" w:rsidRPr="002F5269" w:rsidRDefault="002F5269" w:rsidP="004E3D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526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ABC9BC8" wp14:editId="37140BF2">
            <wp:extent cx="668020" cy="429260"/>
            <wp:effectExtent l="0" t="0" r="0" b="8890"/>
            <wp:docPr id="24" name="Рисунок 24" descr="https://libr.aues.kz/facultet/eef/kaf_epp/27/umm/epp_3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ibr.aues.kz/facultet/eef/kaf_epp/27/umm/epp_3.files/image04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    </w:t>
      </w:r>
      <w:r w:rsidRPr="002F526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0B13102" wp14:editId="53567FB1">
            <wp:extent cx="691515" cy="429260"/>
            <wp:effectExtent l="0" t="0" r="0" b="8890"/>
            <wp:docPr id="25" name="Рисунок 25" descr="https://libr.aues.kz/facultet/eef/kaf_epp/27/umm/epp_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ibr.aues.kz/facultet/eef/kaf_epp/27/umm/epp_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526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8B1DC31" wp14:editId="7C9C7F61">
            <wp:extent cx="643890" cy="429260"/>
            <wp:effectExtent l="0" t="0" r="3810" b="8890"/>
            <wp:docPr id="26" name="Рисунок 26" descr="https://libr.aues.kz/facultet/eef/kaf_epp/27/umm/epp_3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ibr.aues.kz/facultet/eef/kaf_epp/27/umm/epp_3.files/image046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    </w:t>
      </w:r>
      <w:r w:rsidRPr="002F5269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A58FBB2" wp14:editId="57B8FECF">
            <wp:extent cx="707390" cy="429260"/>
            <wp:effectExtent l="0" t="0" r="0" b="8890"/>
            <wp:docPr id="27" name="Рисунок 27" descr="https://libr.aues.kz/facultet/eef/kaf_epp/27/umm/epp_3.files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ibr.aues.kz/facultet/eef/kaf_epp/27/umm/epp_3.files/image04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Коэффициент формы характеризует неравномерность графика во времени; свое наименьшее значение, равное единице, он принимает при нагрузке, неизменной во времени.</w:t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ф,а</w:t>
      </w:r>
      <w:proofErr w:type="spellEnd"/>
      <w:proofErr w:type="gram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 xml:space="preserve"> 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большинства предприятий с ритмичным процессом производства изменяется в пределах от 1,05 до 1,15.</w:t>
      </w:r>
    </w:p>
    <w:p w:rsidR="004E3DAA" w:rsidRPr="002F5269" w:rsidRDefault="004E3DAA" w:rsidP="004E3D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5) Коэффициент максимума.</w:t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Коэффициентом максимума активной мощности </w:t>
      </w:r>
      <w:proofErr w:type="spellStart"/>
      <w:proofErr w:type="gram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м,а</w:t>
      </w:r>
      <w:proofErr w:type="spellEnd"/>
      <w:proofErr w:type="gram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м,а</w:t>
      </w:r>
      <w:proofErr w:type="spell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 xml:space="preserve"> 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называется отношение расчетной активной мощности </w:t>
      </w:r>
      <w:proofErr w:type="spell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proofErr w:type="spell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proofErr w:type="spell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 средней нагрузке </w:t>
      </w:r>
      <w:proofErr w:type="spell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</w:t>
      </w:r>
      <w:proofErr w:type="spell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</w:t>
      </w:r>
      <w:proofErr w:type="spellEnd"/>
      <w:r w:rsidRPr="002F52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 исследуемый период времени</w:t>
      </w:r>
    </w:p>
    <w:p w:rsidR="002F5269" w:rsidRDefault="002F5269" w:rsidP="004E3DAA">
      <w:pPr>
        <w:spacing w:after="0" w:line="240" w:lineRule="auto"/>
        <w:ind w:firstLine="709"/>
        <w:jc w:val="center"/>
      </w:pPr>
      <w:r>
        <w:rPr>
          <w:noProof/>
          <w:lang w:eastAsia="ru-RU"/>
        </w:rPr>
        <w:drawing>
          <wp:inline distT="0" distB="0" distL="0" distR="0" wp14:anchorId="0944A619" wp14:editId="239D69AD">
            <wp:extent cx="636270" cy="461010"/>
            <wp:effectExtent l="0" t="0" r="0" b="0"/>
            <wp:docPr id="28" name="Рисунок 28" descr="https://libr.aues.kz/facultet/eef/kaf_epp/27/umm/epp_3.files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ibr.aues.kz/facultet/eef/kaf_epp/27/umm/epp_3.files/image04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5269">
        <w:t xml:space="preserve"> </w:t>
      </w:r>
      <w:r w:rsidRPr="002F5269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675640" cy="461010"/>
            <wp:effectExtent l="0" t="0" r="0" b="0"/>
            <wp:docPr id="14" name="Рисунок 14" descr="https://libr.aues.kz/facultet/eef/kaf_epp/27/umm/epp_3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ibr.aues.kz/facultet/eef/kaf_epp/27/umm/epp_3.files/image049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>Исследуемый период времени принимается равным продолжительности наиболее загруженной смены.</w:t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 xml:space="preserve">Коэффициент максимума активной мощности </w:t>
      </w:r>
      <w:proofErr w:type="spellStart"/>
      <w:proofErr w:type="gramStart"/>
      <w:r w:rsidRPr="002F5269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м,а</w:t>
      </w:r>
      <w:proofErr w:type="spellEnd"/>
      <w:proofErr w:type="gramEnd"/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F5269">
        <w:rPr>
          <w:rFonts w:ascii="Times New Roman" w:hAnsi="Times New Roman" w:cs="Times New Roman"/>
          <w:sz w:val="28"/>
          <w:szCs w:val="28"/>
        </w:rPr>
        <w:t xml:space="preserve">приближенно можно представить функцией </w:t>
      </w:r>
      <w:proofErr w:type="spellStart"/>
      <w:r w:rsidRPr="002F5269">
        <w:rPr>
          <w:rFonts w:ascii="Times New Roman" w:hAnsi="Times New Roman" w:cs="Times New Roman"/>
          <w:sz w:val="28"/>
          <w:szCs w:val="28"/>
        </w:rPr>
        <w:t>n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2F526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F5269">
        <w:rPr>
          <w:rFonts w:ascii="Times New Roman" w:hAnsi="Times New Roman" w:cs="Times New Roman"/>
          <w:sz w:val="28"/>
          <w:szCs w:val="28"/>
        </w:rPr>
        <w:t>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и,а</w:t>
      </w:r>
      <w:proofErr w:type="spellEnd"/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2F5269">
        <w:rPr>
          <w:rFonts w:ascii="Times New Roman" w:hAnsi="Times New Roman" w:cs="Times New Roman"/>
          <w:sz w:val="28"/>
          <w:szCs w:val="28"/>
        </w:rPr>
        <w:t xml:space="preserve">(см. рисунок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5269">
        <w:rPr>
          <w:rFonts w:ascii="Times New Roman" w:hAnsi="Times New Roman" w:cs="Times New Roman"/>
          <w:sz w:val="28"/>
          <w:szCs w:val="28"/>
        </w:rPr>
        <w:t>).</w:t>
      </w:r>
    </w:p>
    <w:p w:rsidR="002F5269" w:rsidRP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 xml:space="preserve">Кривые построены для То=10 минут, т.е. при длительности интервала осреднения </w:t>
      </w:r>
      <w:proofErr w:type="spellStart"/>
      <w:r w:rsidRPr="002F5269">
        <w:rPr>
          <w:rFonts w:ascii="Times New Roman" w:hAnsi="Times New Roman" w:cs="Times New Roman"/>
          <w:sz w:val="28"/>
          <w:szCs w:val="28"/>
        </w:rPr>
        <w:t>Т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оср</w:t>
      </w:r>
      <w:proofErr w:type="spellEnd"/>
      <w:r w:rsidRPr="002F5269">
        <w:rPr>
          <w:rFonts w:ascii="Times New Roman" w:hAnsi="Times New Roman" w:cs="Times New Roman"/>
          <w:sz w:val="28"/>
          <w:szCs w:val="28"/>
        </w:rPr>
        <w:t>=3Т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2F5269">
        <w:rPr>
          <w:rFonts w:ascii="Times New Roman" w:hAnsi="Times New Roman" w:cs="Times New Roman"/>
          <w:sz w:val="28"/>
          <w:szCs w:val="28"/>
        </w:rPr>
        <w:t>=30 минут (получасовой максимум). Для проводников больших сечений этот интервал не соответствует.</w:t>
      </w: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269">
        <w:rPr>
          <w:rFonts w:ascii="Times New Roman" w:hAnsi="Times New Roman" w:cs="Times New Roman"/>
          <w:sz w:val="28"/>
          <w:szCs w:val="28"/>
        </w:rPr>
        <w:t xml:space="preserve">Поэтому </w:t>
      </w:r>
      <w:proofErr w:type="gramStart"/>
      <w:r w:rsidRPr="002F5269">
        <w:rPr>
          <w:rFonts w:ascii="Times New Roman" w:hAnsi="Times New Roman" w:cs="Times New Roman"/>
          <w:sz w:val="28"/>
          <w:szCs w:val="28"/>
        </w:rPr>
        <w:t>при  Т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End"/>
      <w:r w:rsidRPr="002F5269">
        <w:rPr>
          <w:rFonts w:ascii="Times New Roman" w:hAnsi="Times New Roman" w:cs="Times New Roman"/>
          <w:sz w:val="28"/>
          <w:szCs w:val="28"/>
        </w:rPr>
        <w:t xml:space="preserve"> &gt;&gt; 10 минут определенный по этим кривым К</w:t>
      </w:r>
      <w:r w:rsidRPr="002F5269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2F5269">
        <w:rPr>
          <w:rFonts w:ascii="Times New Roman" w:hAnsi="Times New Roman" w:cs="Times New Roman"/>
          <w:sz w:val="28"/>
          <w:szCs w:val="28"/>
        </w:rPr>
        <w:t xml:space="preserve"> должен быть пересчитан на другую продолжительность по формуле</w:t>
      </w:r>
    </w:p>
    <w:p w:rsid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208405" cy="429260"/>
            <wp:effectExtent l="0" t="0" r="0" b="8890"/>
            <wp:docPr id="15" name="Рисунок 15" descr="https://libr.aues.kz/facultet/eef/kaf_epp/27/umm/epp_3.files/image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ibr.aues.kz/facultet/eef/kaf_epp/27/umm/epp_3.files/image05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D44" w:rsidRDefault="00880D44" w:rsidP="004E3DA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80D44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880D44">
        <w:rPr>
          <w:rFonts w:ascii="Times New Roman" w:hAnsi="Times New Roman" w:cs="Times New Roman"/>
          <w:sz w:val="28"/>
          <w:szCs w:val="28"/>
        </w:rPr>
        <w:t>К</w:t>
      </w:r>
      <w:r w:rsidRPr="00880D44">
        <w:rPr>
          <w:rFonts w:ascii="Times New Roman" w:hAnsi="Times New Roman" w:cs="Times New Roman"/>
          <w:sz w:val="28"/>
          <w:szCs w:val="28"/>
          <w:vertAlign w:val="subscript"/>
        </w:rPr>
        <w:t>м,а</w:t>
      </w:r>
      <w:proofErr w:type="spellEnd"/>
      <w:proofErr w:type="gramEnd"/>
      <w:r w:rsidRPr="00880D44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80D44">
        <w:rPr>
          <w:rFonts w:ascii="Times New Roman" w:hAnsi="Times New Roman" w:cs="Times New Roman"/>
          <w:sz w:val="28"/>
          <w:szCs w:val="28"/>
        </w:rPr>
        <w:t xml:space="preserve">принят при </w:t>
      </w:r>
      <w:proofErr w:type="spellStart"/>
      <w:r w:rsidRPr="00880D44">
        <w:rPr>
          <w:rFonts w:ascii="Times New Roman" w:hAnsi="Times New Roman" w:cs="Times New Roman"/>
          <w:sz w:val="28"/>
          <w:szCs w:val="28"/>
        </w:rPr>
        <w:t>Т</w:t>
      </w:r>
      <w:r w:rsidRPr="00880D44">
        <w:rPr>
          <w:rFonts w:ascii="Times New Roman" w:hAnsi="Times New Roman" w:cs="Times New Roman"/>
          <w:sz w:val="28"/>
          <w:szCs w:val="28"/>
          <w:vertAlign w:val="subscript"/>
        </w:rPr>
        <w:t>оср</w:t>
      </w:r>
      <w:proofErr w:type="spellEnd"/>
      <w:r w:rsidRPr="00880D44">
        <w:rPr>
          <w:rFonts w:ascii="Times New Roman" w:hAnsi="Times New Roman" w:cs="Times New Roman"/>
          <w:sz w:val="28"/>
          <w:szCs w:val="28"/>
        </w:rPr>
        <w:t>=30 минут.</w:t>
      </w:r>
    </w:p>
    <w:p w:rsidR="00880D44" w:rsidRDefault="00880D44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80D44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4007485" cy="2926080"/>
            <wp:effectExtent l="0" t="0" r="0" b="7620"/>
            <wp:docPr id="16" name="Рисунок 16" descr="https://libr.aues.kz/facultet/eef/kaf_epp/27/umm/epp_3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ibr.aues.kz/facultet/eef/kaf_epp/27/umm/epp_3.files/image05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48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P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</w:t>
      </w:r>
      <w:r w:rsidRPr="004E3DAA">
        <w:rPr>
          <w:rFonts w:ascii="Times New Roman" w:hAnsi="Times New Roman" w:cs="Times New Roman"/>
          <w:sz w:val="28"/>
          <w:szCs w:val="28"/>
        </w:rPr>
        <w:t xml:space="preserve">сунок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E3DAA">
        <w:rPr>
          <w:rFonts w:ascii="Times New Roman" w:hAnsi="Times New Roman" w:cs="Times New Roman"/>
          <w:sz w:val="28"/>
          <w:szCs w:val="28"/>
        </w:rPr>
        <w:t xml:space="preserve"> – Кривые для определения 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4E3DAA">
        <w:rPr>
          <w:rFonts w:ascii="Times New Roman" w:hAnsi="Times New Roman" w:cs="Times New Roman"/>
          <w:sz w:val="28"/>
          <w:szCs w:val="28"/>
        </w:rPr>
        <w:t xml:space="preserve">= </w:t>
      </w:r>
      <w:proofErr w:type="gramStart"/>
      <w:r w:rsidRPr="004E3DAA">
        <w:rPr>
          <w:rFonts w:ascii="Times New Roman" w:hAnsi="Times New Roman" w:cs="Times New Roman"/>
          <w:sz w:val="28"/>
          <w:szCs w:val="28"/>
        </w:rPr>
        <w:t>f(</w:t>
      </w:r>
      <w:proofErr w:type="gramEnd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4E3DA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n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>)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>6) Коэффициент спроса.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Коэффициентом спроса по активной мощности </w:t>
      </w:r>
      <w:proofErr w:type="spellStart"/>
      <w:proofErr w:type="gram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с,а</w:t>
      </w:r>
      <w:proofErr w:type="spellEnd"/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4E3DAA">
        <w:rPr>
          <w:rFonts w:ascii="Times New Roman" w:hAnsi="Times New Roman" w:cs="Times New Roman"/>
          <w:sz w:val="28"/>
          <w:szCs w:val="28"/>
        </w:rPr>
        <w:t xml:space="preserve">называется отношение расчетной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Р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 xml:space="preserve"> мощности к номинальной (установленной) мощности группы приемников</w:t>
      </w:r>
    </w:p>
    <w:p w:rsidR="00880D44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731520" cy="461010"/>
            <wp:effectExtent l="0" t="0" r="0" b="0"/>
            <wp:docPr id="17" name="Рисунок 17" descr="https://libr.aues.kz/facultet/eef/kaf_epp/27/umm/epp_3.files/image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ibr.aues.kz/facultet/eef/kaf_epp/27/umm/epp_3.files/image052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Значения </w:t>
      </w:r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4E3DAA">
        <w:rPr>
          <w:rFonts w:ascii="Times New Roman" w:hAnsi="Times New Roman" w:cs="Times New Roman"/>
          <w:sz w:val="28"/>
          <w:szCs w:val="28"/>
        </w:rPr>
        <w:t xml:space="preserve"> для различных групп приемников в различных отраслях промышленности принимаются при проектировании по справочным данным.</w:t>
      </w: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>Можно установить следующие зависимости</w:t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725295" cy="461010"/>
            <wp:effectExtent l="0" t="0" r="8255" b="0"/>
            <wp:docPr id="18" name="Рисунок 18" descr="https://libr.aues.kz/facultet/eef/kaf_epp/27/umm/epp_3.files/image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ibr.aues.kz/facultet/eef/kaf_epp/27/umm/epp_3.files/image05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В справочных материалах величины </w:t>
      </w:r>
      <w:proofErr w:type="spellStart"/>
      <w:proofErr w:type="gram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с,а</w:t>
      </w:r>
      <w:proofErr w:type="spellEnd"/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4E3DAA">
        <w:rPr>
          <w:rFonts w:ascii="Times New Roman" w:hAnsi="Times New Roman" w:cs="Times New Roman"/>
          <w:sz w:val="28"/>
          <w:szCs w:val="28"/>
        </w:rPr>
        <w:t xml:space="preserve">постоянны и не зависят от числа приемников группы, т.е. в них дается лишь грубая оценка величины 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с,а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 xml:space="preserve">, которая может быть постоянной только при высоких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и,а</w:t>
      </w:r>
      <w:proofErr w:type="spell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4E3DAA">
        <w:rPr>
          <w:rFonts w:ascii="Times New Roman" w:hAnsi="Times New Roman" w:cs="Times New Roman"/>
          <w:sz w:val="28"/>
          <w:szCs w:val="28"/>
        </w:rPr>
        <w:t>и большом n.</w:t>
      </w: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>7) Коэффициент заполнения графика нагрузок (коэффициент нагрузки).</w:t>
      </w: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Коэффициентом заполнения графика нагрузок по активной мощности </w:t>
      </w:r>
      <w:proofErr w:type="spellStart"/>
      <w:proofErr w:type="gram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з.г</w:t>
      </w:r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,а</w:t>
      </w:r>
      <w:proofErr w:type="spell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4E3DAA">
        <w:rPr>
          <w:rFonts w:ascii="Times New Roman" w:hAnsi="Times New Roman" w:cs="Times New Roman"/>
          <w:sz w:val="28"/>
          <w:szCs w:val="28"/>
        </w:rPr>
        <w:t>называется отношение средней активной мощности к максимальной за исследуемый период времени</w:t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503045" cy="445135"/>
            <wp:effectExtent l="0" t="0" r="1905" b="0"/>
            <wp:docPr id="19" name="Рисунок 19" descr="https://libr.aues.kz/facultet/eef/kaf_epp/27/umm/epp_3.files/image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libr.aues.kz/facultet/eef/kaf_epp/27/umm/epp_3.files/image054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>Исследуемый период времени принимается равным продолжительности наиболее загруженной смены.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Числовые значения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з.</w:t>
      </w:r>
      <w:proofErr w:type="gramStart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г.а</w:t>
      </w:r>
      <w:proofErr w:type="spellEnd"/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4E3DAA">
        <w:rPr>
          <w:rFonts w:ascii="Times New Roman" w:hAnsi="Times New Roman" w:cs="Times New Roman"/>
          <w:sz w:val="28"/>
          <w:szCs w:val="28"/>
        </w:rPr>
        <w:t>при проектировании принимаются по справочным материалам.</w:t>
      </w: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 8) Коэффициент разновременности максимумов нагрузок.</w:t>
      </w:r>
    </w:p>
    <w:p w:rsidR="004E3DAA" w:rsidRDefault="004E3DAA" w:rsidP="004E3D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lastRenderedPageBreak/>
        <w:t>Коэффициентом разновременности максимумов нагрузок по активной мощности называется отношение суммарного расчетного максимума активной мощности узла системы электроснабжения к сумме расчетных максимумов активной мощности отдельных групп приемников, входящих в данный узел системы электроснабжения</w:t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2030" cy="643890"/>
            <wp:effectExtent l="0" t="0" r="7620" b="3810"/>
            <wp:docPr id="20" name="Рисунок 20" descr="https://libr.aues.kz/facultet/eef/kaf_epp/27/umm/epp_3.files/image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ibr.aues.kz/facultet/eef/kaf_epp/27/umm/epp_3.files/image055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Этот коэффициент характеризует смещение максимумов нагрузок отдельных групп приемников во времени, что вызывает снижение суммарного максимума нагрузок узла по сравнению с суммой максимумов отдельных групп. Коэффициент </w:t>
      </w:r>
      <w:proofErr w:type="gram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р.м</w:t>
      </w:r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,а</w:t>
      </w:r>
      <w:r>
        <w:rPr>
          <w:rFonts w:ascii="Times New Roman" w:hAnsi="Times New Roman" w:cs="Times New Roman"/>
          <w:sz w:val="28"/>
          <w:szCs w:val="28"/>
        </w:rPr>
        <w:t>≤</w:t>
      </w:r>
      <w:r w:rsidRPr="004E3DAA">
        <w:rPr>
          <w:rFonts w:ascii="Times New Roman" w:hAnsi="Times New Roman" w:cs="Times New Roman"/>
          <w:sz w:val="28"/>
          <w:szCs w:val="28"/>
        </w:rPr>
        <w:t xml:space="preserve">1 применяется при ориентировочных расчетах. Значение его определяется отраслевыми инструкциями в зависимости от местных условий. Приближенно можно принять </w:t>
      </w:r>
      <w:proofErr w:type="spellStart"/>
      <w:proofErr w:type="gram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р.м</w:t>
      </w:r>
      <w:proofErr w:type="gramEnd"/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,а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 xml:space="preserve">= 0,85¸1,0, для линий напряжением выше 1кВ системы внутреннего электроснабжения предприятия и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К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р.м,а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>=0,95¸1,0 для шин электростанций предприятия, шин ГПП и питающих ЛЭП (внешнее электроснабжение).</w:t>
      </w:r>
    </w:p>
    <w:p w:rsid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 xml:space="preserve">9) Коэффициент сменности по </w:t>
      </w:r>
      <w:proofErr w:type="spellStart"/>
      <w:r w:rsidRPr="004E3DAA">
        <w:rPr>
          <w:rFonts w:ascii="Times New Roman" w:hAnsi="Times New Roman" w:cs="Times New Roman"/>
          <w:sz w:val="28"/>
          <w:szCs w:val="28"/>
        </w:rPr>
        <w:t>энергоиспользованию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 xml:space="preserve"> за год.</w:t>
      </w:r>
    </w:p>
    <w:p w:rsid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359535" cy="445135"/>
            <wp:effectExtent l="0" t="0" r="0" b="0"/>
            <wp:docPr id="21" name="Рисунок 21" descr="https://libr.aues.kz/facultet/eef/kaf_epp/27/umm/epp_3.files/image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libr.aues.kz/facultet/eef/kaf_epp/27/umm/epp_3.files/image056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3DAA">
        <w:rPr>
          <w:rFonts w:ascii="Symbol" w:hAnsi="Symbol"/>
          <w:color w:val="000000"/>
          <w:sz w:val="27"/>
          <w:szCs w:val="27"/>
        </w:rPr>
        <w:t></w:t>
      </w:r>
      <w:proofErr w:type="gramStart"/>
      <w:r w:rsidRPr="004E3DAA">
        <w:rPr>
          <w:rFonts w:ascii="Times New Roman" w:hAnsi="Times New Roman" w:cs="Times New Roman"/>
          <w:sz w:val="28"/>
          <w:szCs w:val="28"/>
        </w:rPr>
        <w:t>a&lt; 1</w:t>
      </w:r>
      <w:proofErr w:type="gramEnd"/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i/>
          <w:iCs/>
          <w:sz w:val="28"/>
          <w:szCs w:val="28"/>
          <w:lang w:val="en-US"/>
        </w:rPr>
        <w:t>W</w:t>
      </w:r>
      <w:r w:rsidRPr="004E3DAA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r w:rsidRPr="004E3DAA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4E3DAA">
        <w:rPr>
          <w:rFonts w:ascii="Times New Roman" w:hAnsi="Times New Roman" w:cs="Times New Roman"/>
          <w:sz w:val="28"/>
          <w:szCs w:val="28"/>
        </w:rPr>
        <w:t>– расход электроэнергии за год;                 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i/>
          <w:iCs/>
          <w:sz w:val="28"/>
          <w:szCs w:val="28"/>
        </w:rPr>
        <w:drawing>
          <wp:inline distT="0" distB="0" distL="0" distR="0">
            <wp:extent cx="763270" cy="230505"/>
            <wp:effectExtent l="0" t="0" r="0" b="0"/>
            <wp:docPr id="23" name="Рисунок 23" descr="https://libr.aues.kz/facultet/eef/kaf_epp/27/umm/epp_3.files/image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libr.aues.kz/facultet/eef/kaf_epp/27/umm/epp_3.files/image057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3DAA">
        <w:rPr>
          <w:rFonts w:ascii="Times New Roman" w:hAnsi="Times New Roman" w:cs="Times New Roman"/>
          <w:sz w:val="28"/>
          <w:szCs w:val="28"/>
        </w:rPr>
        <w:t>;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3DAA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4E3DAA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spellEnd"/>
      <w:r w:rsidRPr="004E3DAA">
        <w:rPr>
          <w:rFonts w:ascii="Times New Roman" w:hAnsi="Times New Roman" w:cs="Times New Roman"/>
          <w:sz w:val="28"/>
          <w:szCs w:val="28"/>
        </w:rPr>
        <w:t> – годовой фонд рабочего времени.</w:t>
      </w:r>
    </w:p>
    <w:p w:rsidR="004E3DAA" w:rsidRPr="004E3DAA" w:rsidRDefault="004E3DAA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44905" cy="429260"/>
            <wp:effectExtent l="0" t="0" r="0" b="8890"/>
            <wp:docPr id="22" name="Рисунок 22" descr="https://libr.aues.kz/facultet/eef/kaf_epp/27/umm/epp_3.files/image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libr.aues.kz/facultet/eef/kaf_epp/27/umm/epp_3.files/image058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3DAA">
        <w:rPr>
          <w:rFonts w:ascii="Times New Roman" w:hAnsi="Times New Roman" w:cs="Times New Roman"/>
          <w:sz w:val="28"/>
          <w:szCs w:val="28"/>
        </w:rPr>
        <w:t>.</w:t>
      </w:r>
    </w:p>
    <w:p w:rsidR="004E3DAA" w:rsidRPr="004E3DAA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3DAA">
        <w:rPr>
          <w:rFonts w:ascii="Times New Roman" w:hAnsi="Times New Roman" w:cs="Times New Roman"/>
          <w:sz w:val="28"/>
          <w:szCs w:val="28"/>
        </w:rPr>
        <w:t> </w:t>
      </w:r>
    </w:p>
    <w:p w:rsidR="004E3DAA" w:rsidRPr="00880D44" w:rsidRDefault="004E3DAA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5269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5269" w:rsidRPr="002F5269" w:rsidRDefault="002F5269" w:rsidP="004E3D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F5269" w:rsidRPr="00AB57F0" w:rsidRDefault="002F5269" w:rsidP="004E3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F5269" w:rsidRPr="00AB5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7F0"/>
    <w:rsid w:val="002F5269"/>
    <w:rsid w:val="004E3DAA"/>
    <w:rsid w:val="00880D44"/>
    <w:rsid w:val="00AB57F0"/>
    <w:rsid w:val="00DB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D5C6B"/>
  <w15:chartTrackingRefBased/>
  <w15:docId w15:val="{FD1E7B4A-B730-43CA-AB37-B93B89C2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7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2021-11-26T03:20:00Z</dcterms:created>
  <dcterms:modified xsi:type="dcterms:W3CDTF">2021-11-26T04:51:00Z</dcterms:modified>
</cp:coreProperties>
</file>